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EEFA1"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附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件2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科研成果（论文）加分标准</w:t>
      </w:r>
    </w:p>
    <w:bookmarkEnd w:id="0"/>
    <w:tbl>
      <w:tblPr>
        <w:tblStyle w:val="2"/>
        <w:tblW w:w="964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7228"/>
        <w:gridCol w:w="1130"/>
      </w:tblGrid>
      <w:tr w14:paraId="53EBCC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CDB95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类别</w:t>
            </w:r>
          </w:p>
        </w:tc>
        <w:tc>
          <w:tcPr>
            <w:tcW w:w="7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DEB1F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名称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A1745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分值</w:t>
            </w:r>
          </w:p>
        </w:tc>
      </w:tr>
      <w:tr w14:paraId="731F42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C6210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中国科学院JCR一区期刊</w:t>
            </w:r>
          </w:p>
        </w:tc>
        <w:tc>
          <w:tcPr>
            <w:tcW w:w="7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DF555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Science、Nature、Cell（CNS）主刊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9E6E4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30.00分</w:t>
            </w:r>
          </w:p>
        </w:tc>
      </w:tr>
      <w:tr w14:paraId="5341E6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25480E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096D74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CNS子刊一类（Nature Biotechnology、Nature Genetics等）及相当期刊（须同时为JCR-Top期刊）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9ECC7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22.53分</w:t>
            </w:r>
          </w:p>
        </w:tc>
      </w:tr>
      <w:tr w14:paraId="6C2195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4139A6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AEA18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CNS子刊二类（Cell Research、Cell Host and Microbe、Molecular Cell等）及相当期刊（须同时为JCR-Top期刊）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3985B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15.00分</w:t>
            </w:r>
          </w:p>
        </w:tc>
      </w:tr>
      <w:tr w14:paraId="33D006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2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B7BBD7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9FEEF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CNS子刊三类（Trends in Plant Science、Science Advances、Nature Communications等）及相当期刊（须同时为JCR-Top期刊）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435A5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10.53分</w:t>
            </w:r>
          </w:p>
        </w:tc>
      </w:tr>
      <w:tr w14:paraId="185245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CC69D4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2A322A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PNAS、Plant Cell、Genome Research及相当期刊（须同时为JCR-Top期刊）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2A2D3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7.53分</w:t>
            </w:r>
          </w:p>
        </w:tc>
      </w:tr>
      <w:tr w14:paraId="0AAE08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11C151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26EA75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New Phytologist、Plant Biotechnology Journal及相当期刊（须同时为JCR-Top期刊）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19044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6.00分</w:t>
            </w:r>
          </w:p>
        </w:tc>
      </w:tr>
      <w:tr w14:paraId="41578D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253029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42CFBC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其他中国科学院JCR一区期刊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949D1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3.00分</w:t>
            </w:r>
          </w:p>
        </w:tc>
      </w:tr>
      <w:tr w14:paraId="650D98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306C44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中国科学院JCR二区期刊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EA3C9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1.53分</w:t>
            </w:r>
          </w:p>
        </w:tc>
      </w:tr>
      <w:tr w14:paraId="205F46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D982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中国科学院JCR三区期刊、中国科技期刊卓越行动计划入选期刊领军期刊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2089C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0.60分</w:t>
            </w:r>
          </w:p>
        </w:tc>
      </w:tr>
      <w:tr w14:paraId="2C13C9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AE363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中国科学院JCR四区期刊、中国科技期刊卓越行动计划入选期刊重点期刊、以及其它EI收录期刊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168C4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0.33分</w:t>
            </w:r>
          </w:p>
        </w:tc>
      </w:tr>
      <w:tr w14:paraId="7A5BA5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6B75A1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中国科技期刊卓越行动计划入选期刊梯队期刊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7645B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0.27分</w:t>
            </w:r>
          </w:p>
        </w:tc>
      </w:tr>
      <w:tr w14:paraId="266015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6117C9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中国科技期刊卓越行动计划入选期刊高起点新刊、河南农业大学学报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673F4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0.20分</w:t>
            </w:r>
          </w:p>
        </w:tc>
      </w:tr>
      <w:tr w14:paraId="697A6B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2E667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中文核心期刊（北大核心期刊）</w:t>
            </w: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4085A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0.13分</w:t>
            </w:r>
          </w:p>
        </w:tc>
      </w:tr>
    </w:tbl>
    <w:p w14:paraId="23CC571B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注：科研成果（论文）不累加，若有多篇文章，按单篇最高分计算。</w:t>
      </w:r>
    </w:p>
    <w:p w14:paraId="272C54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2025-09-03T02:13:25Z</dcterms:created>
  <dc:creator>Lenovo</dc:creator>
  <cp:lastModifiedBy>爱做梦の懒虫</cp:lastModifiedBy>
  <dcterms:modified xsi:type="dcterms:W3CDTF">2025-09-03T02:13:35Z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eyJoZGlkIjoiMDBhNjU3YmQ0ZjZiYjg4YjFiMDFkNWJiODVlOTliMDUiLCJ1c2VySWQiOiI1MTI0NTMyMDgifQ==</vt:lpwstr>
  </property>
  <property fmtid="{D5CDD505-2E9C-101B-9397-08002B2CF9AE}" pid="4" name="ICV">
    <vt:lpwstr>FF42CE08E78D444F90F6D209A0E25293_12</vt:lpwstr>
  </property>
</Properties>
</file>