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17" w:afterLines="50" w:line="560" w:lineRule="exact"/>
        <w:jc w:val="left"/>
        <w:outlineLvl w:val="0"/>
        <w:rPr>
          <w:rFonts w:ascii="黑体" w:hAnsi="黑体" w:eastAsia="黑体"/>
          <w:sz w:val="28"/>
          <w:szCs w:val="28"/>
        </w:rPr>
      </w:pPr>
      <w:bookmarkStart w:id="1" w:name="_GoBack"/>
      <w:bookmarkEnd w:id="1"/>
      <w:bookmarkStart w:id="0" w:name="OLE_LINK1"/>
      <w:r>
        <w:rPr>
          <w:rFonts w:hint="eastAsia" w:ascii="黑体" w:hAnsi="黑体" w:eastAsia="黑体"/>
          <w:sz w:val="28"/>
          <w:szCs w:val="28"/>
        </w:rPr>
        <w:t>附件</w:t>
      </w:r>
    </w:p>
    <w:p>
      <w:pPr>
        <w:rPr>
          <w:rFonts w:ascii="方正小标宋简体" w:eastAsia="方正小标宋简体"/>
          <w:sz w:val="32"/>
          <w:szCs w:val="32"/>
        </w:rPr>
      </w:pPr>
      <w:r>
        <w:rPr>
          <w:rFonts w:hint="eastAsia" w:ascii="方正小标宋简体" w:eastAsia="方正小标宋简体"/>
          <w:sz w:val="32"/>
          <w:szCs w:val="32"/>
        </w:rPr>
        <w:t>山东中烟工业有限责任公司2026年度高校毕业生招聘计划表</w:t>
      </w:r>
    </w:p>
    <w:p/>
    <w:tbl>
      <w:tblPr>
        <w:tblStyle w:val="8"/>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134"/>
        <w:gridCol w:w="1442"/>
        <w:gridCol w:w="3686"/>
        <w:gridCol w:w="131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48" w:type="dxa"/>
            <w:vAlign w:val="center"/>
          </w:tcPr>
          <w:p>
            <w:pPr>
              <w:adjustRightInd w:val="0"/>
              <w:snapToGrid w:val="0"/>
              <w:jc w:val="center"/>
              <w:rPr>
                <w:rFonts w:ascii="黑体" w:hAnsi="黑体" w:eastAsia="黑体" w:cstheme="minorBidi"/>
                <w:szCs w:val="21"/>
              </w:rPr>
            </w:pPr>
            <w:r>
              <w:rPr>
                <w:rFonts w:hint="eastAsia" w:ascii="黑体" w:hAnsi="黑体" w:eastAsia="黑体" w:cstheme="minorBidi"/>
                <w:szCs w:val="21"/>
              </w:rPr>
              <w:t>招聘单位</w:t>
            </w:r>
          </w:p>
        </w:tc>
        <w:tc>
          <w:tcPr>
            <w:tcW w:w="1134" w:type="dxa"/>
            <w:vAlign w:val="center"/>
          </w:tcPr>
          <w:p>
            <w:pPr>
              <w:adjustRightInd w:val="0"/>
              <w:snapToGrid w:val="0"/>
              <w:jc w:val="center"/>
              <w:rPr>
                <w:rFonts w:ascii="黑体" w:hAnsi="黑体" w:eastAsia="黑体" w:cstheme="minorBidi"/>
                <w:szCs w:val="21"/>
              </w:rPr>
            </w:pPr>
            <w:r>
              <w:rPr>
                <w:rFonts w:hint="eastAsia" w:ascii="黑体" w:hAnsi="黑体" w:eastAsia="黑体" w:cstheme="minorBidi"/>
                <w:szCs w:val="21"/>
              </w:rPr>
              <w:t>岗位类别</w:t>
            </w:r>
          </w:p>
        </w:tc>
        <w:tc>
          <w:tcPr>
            <w:tcW w:w="1442" w:type="dxa"/>
            <w:vAlign w:val="center"/>
          </w:tcPr>
          <w:p>
            <w:pPr>
              <w:adjustRightInd w:val="0"/>
              <w:snapToGrid w:val="0"/>
              <w:jc w:val="center"/>
              <w:rPr>
                <w:rFonts w:ascii="黑体" w:hAnsi="黑体" w:eastAsia="黑体" w:cstheme="minorBidi"/>
                <w:szCs w:val="21"/>
              </w:rPr>
            </w:pPr>
            <w:r>
              <w:rPr>
                <w:rFonts w:hint="eastAsia" w:ascii="黑体" w:hAnsi="黑体" w:eastAsia="黑体" w:cstheme="minorBidi"/>
                <w:szCs w:val="21"/>
              </w:rPr>
              <w:t>专业方向</w:t>
            </w:r>
          </w:p>
        </w:tc>
        <w:tc>
          <w:tcPr>
            <w:tcW w:w="3686" w:type="dxa"/>
            <w:vAlign w:val="center"/>
          </w:tcPr>
          <w:p>
            <w:pPr>
              <w:adjustRightInd w:val="0"/>
              <w:snapToGrid w:val="0"/>
              <w:jc w:val="center"/>
              <w:rPr>
                <w:rFonts w:ascii="黑体" w:hAnsi="黑体" w:eastAsia="黑体" w:cstheme="minorBidi"/>
                <w:szCs w:val="21"/>
              </w:rPr>
            </w:pPr>
            <w:r>
              <w:rPr>
                <w:rFonts w:hint="eastAsia" w:ascii="黑体" w:hAnsi="黑体" w:eastAsia="黑体" w:cstheme="minorBidi"/>
                <w:szCs w:val="21"/>
              </w:rPr>
              <w:t>专业要求</w:t>
            </w:r>
          </w:p>
        </w:tc>
        <w:tc>
          <w:tcPr>
            <w:tcW w:w="1317" w:type="dxa"/>
            <w:vAlign w:val="center"/>
          </w:tcPr>
          <w:p>
            <w:pPr>
              <w:adjustRightInd w:val="0"/>
              <w:snapToGrid w:val="0"/>
              <w:jc w:val="center"/>
              <w:rPr>
                <w:rFonts w:ascii="黑体" w:hAnsi="黑体" w:eastAsia="黑体" w:cstheme="minorBidi"/>
                <w:szCs w:val="21"/>
              </w:rPr>
            </w:pPr>
            <w:r>
              <w:rPr>
                <w:rFonts w:hint="eastAsia" w:ascii="黑体" w:hAnsi="黑体" w:eastAsia="黑体" w:cstheme="minorBidi"/>
                <w:szCs w:val="21"/>
              </w:rPr>
              <w:t>学历要求</w:t>
            </w:r>
          </w:p>
        </w:tc>
        <w:tc>
          <w:tcPr>
            <w:tcW w:w="732" w:type="dxa"/>
            <w:vAlign w:val="center"/>
          </w:tcPr>
          <w:p>
            <w:pPr>
              <w:adjustRightInd w:val="0"/>
              <w:snapToGrid w:val="0"/>
              <w:jc w:val="center"/>
              <w:rPr>
                <w:rFonts w:ascii="黑体" w:hAnsi="黑体" w:eastAsia="黑体" w:cstheme="minorBidi"/>
                <w:szCs w:val="21"/>
              </w:rPr>
            </w:pPr>
            <w:r>
              <w:rPr>
                <w:rFonts w:hint="eastAsia" w:ascii="黑体" w:hAnsi="黑体" w:eastAsia="黑体" w:cstheme="minorBidi"/>
                <w:szCs w:val="21"/>
              </w:rPr>
              <w:t>计划</w:t>
            </w:r>
          </w:p>
          <w:p>
            <w:pPr>
              <w:adjustRightInd w:val="0"/>
              <w:snapToGrid w:val="0"/>
              <w:jc w:val="center"/>
              <w:rPr>
                <w:rFonts w:ascii="黑体" w:hAnsi="黑体" w:eastAsia="黑体" w:cstheme="minorBidi"/>
                <w:szCs w:val="21"/>
              </w:rPr>
            </w:pPr>
            <w:r>
              <w:rPr>
                <w:rFonts w:hint="eastAsia" w:ascii="黑体" w:hAnsi="黑体" w:eastAsia="黑体" w:cstheme="minorBidi"/>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348" w:type="dxa"/>
            <w:vMerge w:val="restart"/>
            <w:vAlign w:val="center"/>
          </w:tcPr>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r>
              <w:rPr>
                <w:rFonts w:asciiTheme="minorEastAsia" w:hAnsiTheme="minorEastAsia" w:eastAsiaTheme="minorEastAsia" w:cstheme="minorBidi"/>
                <w:szCs w:val="21"/>
              </w:rPr>
              <w:t>济南卷烟厂</w:t>
            </w: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r>
              <w:rPr>
                <w:rFonts w:asciiTheme="minorEastAsia" w:hAnsiTheme="minorEastAsia" w:eastAsiaTheme="minorEastAsia" w:cstheme="minorBidi"/>
                <w:szCs w:val="21"/>
              </w:rPr>
              <w:t>济南卷烟厂</w:t>
            </w: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营销业务</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市场营销</w:t>
            </w:r>
          </w:p>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（卷烟）</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本科：市场营销</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研究生：市场营销</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化学研究</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研究生：分析化学、有机化学、无机化学、高分子化学与物理,食品科学与工程</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营销业务</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市场营销</w:t>
            </w:r>
          </w:p>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（雪茄）</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本科：市场营销</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研究生：市场营销</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机械</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本科：机械工程、机械设计制造及其自动化、机械电子工程、智能制造工程、过程装备与控制工程</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研究生：机械、机械工程、机械电子工程、机械制造及其自动化、智能制造技术</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电气</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本科：电气工程及其自动化、电子信息工程、自动化、电气工程与智能控制、智能电网信息工程</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研究生：电气工程、电子信息、控制工程、控制科学与工程、控制理论与控制工程、电力系统及其自动化、电机与电器、电路与系统</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计算机</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本科：计算机科学与技术、软件工程、数据科学与大数据技术、人工智能、网络空间安全、信息管理与信息系统</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研究生：计算机科学与技术、计算机技术、计算机应用技术、软件工程、大数据技术与工程、人工智能、网络空间安全</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数据统计</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本科：统计学、应用统计学、数据科学、大数据管理与应用、数据计算及应用、信息与计算科学</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研究生：统计学、应用统计、概率论与数理统计</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文秘</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本科：汉语言文学、汉语言、秘书学、新闻学</w:t>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br w:type="page"/>
            </w:r>
            <w:r>
              <w:rPr>
                <w:rFonts w:hint="eastAsia" w:asciiTheme="minorEastAsia" w:hAnsiTheme="minorEastAsia" w:eastAsiaTheme="minorEastAsia" w:cstheme="minorBidi"/>
                <w:szCs w:val="21"/>
              </w:rPr>
              <w:t>研究生：语言学及应用语言学、中国语言文学、新闻学、新闻与传播、新闻传播学</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工程管理</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本科：工程管理、工程造价、工程审计</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研究生：工程管理、工业工程与管理、管理科学与工程</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电气</w:t>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（将军集团）</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本科：电气工程及其自动化、电子信息工程、自动化、电气工程与智能控制、智能电网信息工程</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研究生：电气工程、电子信息、控制工程、控制科学与工程、控制理论与控制工程、电力系统及其自动化、电机与电器、电路与系统</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印刷设计</w:t>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（将军集团）</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本科：印刷工程、产品设计、包装设计</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研究生：轻工技术与工程、印刷与包装工程、包装工程</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人力资源</w:t>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（将军集团）</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本科：人力资源管理、劳动关系、劳动与社会保障</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研究生：社会保障、人力资源管理</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财务会计</w:t>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（将军集团）</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本科：财务管理、会计学、金融学</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研究生：财务管理、会计学、金融学、会计</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环境工程</w:t>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（将军集团）</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本科：环境科学与工程、、环境科学、环境工程</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研究生：环境科学、环境工程、环境科学与工程</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927" w:type="dxa"/>
            <w:gridSpan w:val="5"/>
            <w:vAlign w:val="center"/>
          </w:tcPr>
          <w:p>
            <w:pPr>
              <w:adjustRightInd w:val="0"/>
              <w:snapToGrid w:val="0"/>
              <w:rPr>
                <w:rFonts w:ascii="黑体" w:hAnsi="黑体" w:eastAsia="黑体" w:cstheme="minorBidi"/>
                <w:szCs w:val="21"/>
              </w:rPr>
            </w:pPr>
            <w:r>
              <w:rPr>
                <w:rFonts w:hint="eastAsia" w:asciiTheme="minorEastAsia" w:hAnsiTheme="minorEastAsia" w:eastAsiaTheme="minorEastAsia" w:cstheme="minorBidi"/>
                <w:b/>
                <w:szCs w:val="21"/>
              </w:rPr>
              <w:t>　　　　　　　　　　　　　　　</w:t>
            </w:r>
            <w:r>
              <w:rPr>
                <w:rFonts w:hint="eastAsia" w:ascii="黑体" w:hAnsi="黑体" w:eastAsia="黑体" w:cstheme="minorBidi"/>
                <w:szCs w:val="21"/>
              </w:rPr>
              <w:t>济南卷烟厂汇总</w:t>
            </w:r>
          </w:p>
        </w:tc>
        <w:tc>
          <w:tcPr>
            <w:tcW w:w="732" w:type="dxa"/>
            <w:vAlign w:val="center"/>
          </w:tcPr>
          <w:p>
            <w:pPr>
              <w:adjustRightInd w:val="0"/>
              <w:snapToGrid w:val="0"/>
              <w:jc w:val="center"/>
              <w:rPr>
                <w:rFonts w:ascii="黑体" w:hAnsi="黑体" w:eastAsia="黑体" w:cstheme="minorBidi"/>
                <w:b/>
                <w:szCs w:val="21"/>
              </w:rPr>
            </w:pPr>
            <w:r>
              <w:rPr>
                <w:rFonts w:hint="eastAsia" w:ascii="黑体" w:hAnsi="黑体" w:eastAsia="黑体" w:cstheme="minorBidi"/>
                <w:b/>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348" w:type="dxa"/>
            <w:vMerge w:val="restart"/>
            <w:vAlign w:val="center"/>
          </w:tcPr>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青岛卷烟厂</w:t>
            </w: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青岛卷烟厂</w:t>
            </w: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营销业务</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市场营销</w:t>
            </w:r>
          </w:p>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（卷烟）</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本科：市场营销</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研究生：市场营销</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烟叶原料</w:t>
            </w:r>
          </w:p>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研究</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研究生：烟草科学与工程，作物遗传育种、作物学、作物栽培学与耕作学</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调香技术</w:t>
            </w:r>
          </w:p>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研究</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研究生：烟草科学与工程,生物化学与分子生物学，生物技术与工程</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数字化模型设计</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研究生：统计学、应用统计、概率论与数理统计、应用数学、计算数学</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asciiTheme="minorEastAsia" w:hAnsiTheme="minorEastAsia" w:eastAsiaTheme="minorEastAsia" w:cstheme="minorBidi"/>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机械</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本科：机械工程、机械设计制造及其自动化、机械电子工程、智能制造工程、过程装备与控制工程</w:t>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br w:type="page"/>
            </w:r>
            <w:r>
              <w:rPr>
                <w:rFonts w:hint="eastAsia" w:asciiTheme="minorEastAsia" w:hAnsiTheme="minorEastAsia" w:eastAsiaTheme="minorEastAsia" w:cstheme="minorBidi"/>
                <w:szCs w:val="21"/>
              </w:rPr>
              <w:t>研究生：机械、机械工程、机械电子工程、机械制造及其自动化、智能制造技术</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电气</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本科：电气工程及其自动化、电子信息工程、自动化、电气工程与智能控制、智能电网信息工程</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研究生：电气工程、电子信息、控制工程、控制科学与工程、控制理论与控制工程、电力系统及其自动化、电机与电器、电路与系统</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计算机</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本科：计算机科学与技术、软件工程、数据科学与大数据技术、人工智能、网络空间安全、信息管理与信息系统</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研究生：计算机科学与技术、计算机技术、计算机应用技术、软件工程、大数据技术与工程、人工智能、网络空间安全</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数据统计</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本科：统计学、应用统计学、数据科学、大数据管理与应用、数据计算及应用、信息与计算科学</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研究生：统计学、应用统计、概率论与数理统计</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文秘</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本科：汉语言文学、汉语言、秘书学、新闻学</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研究生：语言学及应用语言学、中国语言文学、新闻学、新闻与传播、新闻传播学</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土木建筑</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本科：土木工程、建筑学、建筑环境与能源应用工程</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研究生：土木工程、建筑学、建筑</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机械</w:t>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（颐中集团）</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本科：机械工程、机械设计制造及其自动化、机械电子工程、智能制造工程、过程装备与控制工程</w:t>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br w:type="page"/>
            </w:r>
            <w:r>
              <w:rPr>
                <w:rFonts w:hint="eastAsia" w:asciiTheme="minorEastAsia" w:hAnsiTheme="minorEastAsia" w:eastAsiaTheme="minorEastAsia" w:cstheme="minorBidi"/>
                <w:szCs w:val="21"/>
              </w:rPr>
              <w:t>研究生：机械、机械工程、机械电子工程、机械制造及其自动化、智能制造技术</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电气</w:t>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（颐中集团）</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本科：电气工程及其自动化、电子信息工程、自动化、电气工程与智能控制、智能电网信息工程</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研究生：电气工程、电子信息、控制工程、控制科学与工程、控制理论与控制工程、电力系统及其自动化、电机与电器、电路与系统</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计算机</w:t>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（颐中集团）</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本科：计算机科学与技术、软件工程、数据科学与大数据技术、人工智能、网络空间安全、信息管理与信息系统</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研究生：计算机科学与技术、计算机技术、计算机应用技术、软件工程、大数据技术与工程、人工智能、网络空间安全</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财务会计</w:t>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（颐中集团）</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本科：财务管理、会计学、金融学</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研究生：财务管理、会计学、金融学、会计</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348" w:type="dxa"/>
            <w:vMerge w:val="continue"/>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法律</w:t>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（颐中集团）</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本科：法学、信用风险管理与法律防控</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研究生：法学、法律（法学）、法律（非法学）、民商法学、诉讼法学、经济法学</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927" w:type="dxa"/>
            <w:gridSpan w:val="5"/>
            <w:vAlign w:val="center"/>
          </w:tcPr>
          <w:p>
            <w:pPr>
              <w:adjustRightInd w:val="0"/>
              <w:snapToGrid w:val="0"/>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　　　　　　　　　　　　　　　　　</w:t>
            </w:r>
            <w:r>
              <w:rPr>
                <w:rFonts w:hint="eastAsia" w:ascii="黑体" w:hAnsi="黑体" w:eastAsia="黑体" w:cstheme="minorBidi"/>
                <w:szCs w:val="21"/>
              </w:rPr>
              <w:t>青岛卷烟厂汇总</w:t>
            </w:r>
          </w:p>
        </w:tc>
        <w:tc>
          <w:tcPr>
            <w:tcW w:w="732" w:type="dxa"/>
            <w:vAlign w:val="center"/>
          </w:tcPr>
          <w:p>
            <w:pPr>
              <w:adjustRightInd w:val="0"/>
              <w:snapToGrid w:val="0"/>
              <w:jc w:val="center"/>
              <w:rPr>
                <w:rFonts w:ascii="黑体" w:hAnsi="黑体" w:eastAsia="黑体" w:cstheme="minorBidi"/>
                <w:b/>
                <w:szCs w:val="21"/>
              </w:rPr>
            </w:pPr>
            <w:r>
              <w:rPr>
                <w:rFonts w:hint="eastAsia" w:ascii="黑体" w:hAnsi="黑体" w:eastAsia="黑体" w:cstheme="minorBidi"/>
                <w:b/>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1348" w:type="dxa"/>
            <w:vMerge w:val="restart"/>
            <w:vAlign w:val="center"/>
          </w:tcPr>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青州卷烟厂</w:t>
            </w: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机械</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本科：机械工程、机械设计制造及其自动化、机械电子工程、智能制造工程、过程装备与控制工程</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研究生：机械、机械工程、机械电子工程、机械制造及其自动化、智能制造技术</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电气</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本科：电气工程及其自动化、电子信息工程、自动化、电气工程与智能控制、智能电网信息工程</w:t>
            </w:r>
            <w:r>
              <w:rPr>
                <w:rFonts w:hint="eastAsia" w:asciiTheme="minorEastAsia" w:hAnsiTheme="minorEastAsia" w:eastAsiaTheme="minorEastAsia" w:cstheme="minorBidi"/>
                <w:szCs w:val="21"/>
              </w:rPr>
              <w:br w:type="page"/>
            </w:r>
            <w:r>
              <w:rPr>
                <w:rFonts w:hint="eastAsia" w:asciiTheme="minorEastAsia" w:hAnsiTheme="minorEastAsia" w:eastAsiaTheme="minorEastAsia" w:cstheme="minorBidi"/>
                <w:szCs w:val="21"/>
              </w:rPr>
              <w:t>研究生：电气工程、电子信息、控制工程、控制科学与工程、控制理论与控制工程、电力系统及其自动化、电机与电器、电路与系统</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计算机</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本科：计算机科学与技术、软件工程、数据科学与大数据技术、人工智能、网络空间安全、信息管理与信息系统</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研究生：计算机科学与技术、计算机技术、计算机应用技术、软件工程、大数据技术与工程、人工智能、网络空间安全</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数据统计</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本科：统计学、应用统计学、数据科学、大数据管理与应用、数据计算及应用、信息与计算科学</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研究生：统计学、应用统计、概率论与数理统计</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烟草工艺</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本科：食品科学与工程（烟草科学与工程）、食品科学与工程（烟草工程）</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研究生：烟草科学与工程</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安全工程</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本科：安全工程、安全生产监管、应急技术与管理</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研究生：安全工程、安全技术及工程、安全科学与工程</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927" w:type="dxa"/>
            <w:gridSpan w:val="5"/>
            <w:vAlign w:val="center"/>
          </w:tcPr>
          <w:p>
            <w:pPr>
              <w:adjustRightInd w:val="0"/>
              <w:snapToGrid w:val="0"/>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　　　　　　　　　　　　　　　　　　</w:t>
            </w:r>
            <w:r>
              <w:rPr>
                <w:rFonts w:hint="eastAsia" w:ascii="黑体" w:hAnsi="黑体" w:eastAsia="黑体" w:cstheme="minorBidi"/>
                <w:szCs w:val="21"/>
              </w:rPr>
              <w:t>青州卷烟厂汇总</w:t>
            </w:r>
          </w:p>
        </w:tc>
        <w:tc>
          <w:tcPr>
            <w:tcW w:w="732" w:type="dxa"/>
            <w:vAlign w:val="center"/>
          </w:tcPr>
          <w:p>
            <w:pPr>
              <w:adjustRightInd w:val="0"/>
              <w:snapToGrid w:val="0"/>
              <w:jc w:val="center"/>
              <w:rPr>
                <w:rFonts w:ascii="黑体" w:hAnsi="黑体" w:eastAsia="黑体" w:cstheme="minorBidi"/>
                <w:szCs w:val="21"/>
              </w:rPr>
            </w:pPr>
            <w:r>
              <w:rPr>
                <w:rFonts w:hint="eastAsia" w:ascii="黑体" w:hAnsi="黑体" w:eastAsia="黑体" w:cstheme="minorBidi"/>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348" w:type="dxa"/>
            <w:vMerge w:val="restart"/>
            <w:vAlign w:val="center"/>
          </w:tcPr>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滕州卷烟厂</w:t>
            </w: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机械</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本科：机械工程、机械设计制造及其自动化、机械电子工程、智能制造工程、过程装备与控制工程</w:t>
            </w:r>
            <w:r>
              <w:rPr>
                <w:rFonts w:hint="eastAsia" w:asciiTheme="minorEastAsia" w:hAnsiTheme="minorEastAsia" w:eastAsiaTheme="minorEastAsia" w:cstheme="minorBidi"/>
                <w:szCs w:val="21"/>
              </w:rPr>
              <w:br w:type="page"/>
            </w:r>
          </w:p>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研究生：机械、机械工程、机械电子工程、机械制造及其自动化、智能制造技术</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电气</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本科：电气工程及其自动化、电子信息工程、自动化、电气工程与智能控制、智能电网信息工程</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研究生：电气工程、电子信息、控制工程、控制科学与工程、控制理论与控制工程、电力系统及其自动化、电机与电器、电路与系统</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计算机</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本科：计算机科学与技术、软件工程、数据科学与大数据技术、人工智能、网络空间安全、信息管理与信息系统</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研究生：计算机科学与技术、计算机技术、计算机应用技术、软件工程、大数据技术与工程、人工智能、网络空间安全</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烟草工艺</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w:t>
            </w:r>
            <w:r>
              <w:rPr>
                <w:rFonts w:hint="eastAsia" w:asciiTheme="minorEastAsia" w:hAnsiTheme="minorEastAsia" w:eastAsiaTheme="minorEastAsia" w:cstheme="minorBidi"/>
                <w:spacing w:val="-6"/>
                <w:szCs w:val="21"/>
              </w:rPr>
              <w:t>食品科学与工程（烟草科学与工程）、食品科学与工程（烟草工程）</w:t>
            </w:r>
            <w:r>
              <w:rPr>
                <w:rFonts w:hint="eastAsia" w:asciiTheme="minorEastAsia" w:hAnsiTheme="minorEastAsia" w:eastAsiaTheme="minorEastAsia" w:cstheme="minorBidi"/>
                <w:spacing w:val="-6"/>
                <w:szCs w:val="21"/>
              </w:rPr>
              <w:br w:type="textWrapping"/>
            </w:r>
            <w:r>
              <w:rPr>
                <w:rFonts w:hint="eastAsia" w:asciiTheme="minorEastAsia" w:hAnsiTheme="minorEastAsia" w:eastAsiaTheme="minorEastAsia" w:cstheme="minorBidi"/>
                <w:szCs w:val="21"/>
              </w:rPr>
              <w:t>研究生：烟草科学与工程</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安全工程</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本科：安全工程、安全生产监管、应急技术与管理</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研究生：安全工程、安全技术及工程、安全科学与工程</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土木建筑</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本科：土木工程、建筑学、建筑环境与能源应用工程</w:t>
            </w:r>
            <w:r>
              <w:rPr>
                <w:rFonts w:hint="eastAsia" w:asciiTheme="minorEastAsia" w:hAnsiTheme="minorEastAsia" w:eastAsiaTheme="minorEastAsia" w:cstheme="minorBidi"/>
                <w:szCs w:val="21"/>
              </w:rPr>
              <w:br w:type="textWrapping"/>
            </w:r>
            <w:r>
              <w:rPr>
                <w:rFonts w:hint="eastAsia" w:asciiTheme="minorEastAsia" w:hAnsiTheme="minorEastAsia" w:eastAsiaTheme="minorEastAsia" w:cstheme="minorBidi"/>
                <w:szCs w:val="21"/>
              </w:rPr>
              <w:t>研究生：土木工程、建筑学、建筑</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48" w:type="dxa"/>
            <w:vMerge w:val="continue"/>
            <w:vAlign w:val="center"/>
          </w:tcPr>
          <w:p>
            <w:pPr>
              <w:jc w:val="center"/>
              <w:rPr>
                <w:rFonts w:asciiTheme="minorEastAsia" w:hAnsiTheme="minorEastAsia" w:eastAsiaTheme="minorEastAsia" w:cstheme="minorBidi"/>
                <w:szCs w:val="21"/>
              </w:rPr>
            </w:pPr>
          </w:p>
        </w:tc>
        <w:tc>
          <w:tcPr>
            <w:tcW w:w="1134"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生产操作</w:t>
            </w:r>
          </w:p>
        </w:tc>
        <w:tc>
          <w:tcPr>
            <w:tcW w:w="144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审计</w:t>
            </w:r>
          </w:p>
        </w:tc>
        <w:tc>
          <w:tcPr>
            <w:tcW w:w="3686"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本科：</w:t>
            </w:r>
            <w:r>
              <w:rPr>
                <w:rFonts w:hint="eastAsia" w:asciiTheme="minorEastAsia" w:hAnsiTheme="minorEastAsia" w:eastAsiaTheme="minorEastAsia" w:cstheme="minorBidi"/>
                <w:spacing w:val="-6"/>
                <w:szCs w:val="21"/>
              </w:rPr>
              <w:t>审计学、内部审计、工程审计</w:t>
            </w:r>
            <w:r>
              <w:rPr>
                <w:rFonts w:hint="eastAsia" w:asciiTheme="minorEastAsia" w:hAnsiTheme="minorEastAsia" w:eastAsiaTheme="minorEastAsia" w:cstheme="minorBidi"/>
                <w:spacing w:val="-16"/>
                <w:szCs w:val="21"/>
              </w:rPr>
              <w:br w:type="textWrapping"/>
            </w:r>
            <w:r>
              <w:rPr>
                <w:rFonts w:hint="eastAsia" w:asciiTheme="minorEastAsia" w:hAnsiTheme="minorEastAsia" w:eastAsiaTheme="minorEastAsia" w:cstheme="minorBidi"/>
                <w:szCs w:val="21"/>
              </w:rPr>
              <w:t>研究生：审计</w:t>
            </w:r>
          </w:p>
        </w:tc>
        <w:tc>
          <w:tcPr>
            <w:tcW w:w="1317" w:type="dxa"/>
            <w:vAlign w:val="center"/>
          </w:tcPr>
          <w:p>
            <w:pPr>
              <w:adjustRightInd w:val="0"/>
              <w:snapToGrid w:val="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大学本科、硕士研究生</w:t>
            </w:r>
          </w:p>
        </w:tc>
        <w:tc>
          <w:tcPr>
            <w:tcW w:w="732" w:type="dxa"/>
            <w:vAlign w:val="center"/>
          </w:tcPr>
          <w:p>
            <w:pPr>
              <w:adjustRightInd w:val="0"/>
              <w:snapToGrid w:val="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27" w:type="dxa"/>
            <w:gridSpan w:val="5"/>
            <w:vAlign w:val="center"/>
          </w:tcPr>
          <w:p>
            <w:pPr>
              <w:adjustRightInd w:val="0"/>
              <w:snapToGrid w:val="0"/>
              <w:jc w:val="center"/>
              <w:rPr>
                <w:rFonts w:ascii="黑体" w:hAnsi="黑体" w:eastAsia="黑体" w:cstheme="minorBidi"/>
                <w:szCs w:val="21"/>
              </w:rPr>
            </w:pPr>
            <w:r>
              <w:rPr>
                <w:rFonts w:hint="eastAsia" w:ascii="黑体" w:hAnsi="黑体" w:eastAsia="黑体" w:cstheme="minorBidi"/>
                <w:szCs w:val="21"/>
              </w:rPr>
              <w:t>滕州卷烟厂汇总</w:t>
            </w:r>
          </w:p>
        </w:tc>
        <w:tc>
          <w:tcPr>
            <w:tcW w:w="732" w:type="dxa"/>
            <w:vAlign w:val="center"/>
          </w:tcPr>
          <w:p>
            <w:pPr>
              <w:adjustRightInd w:val="0"/>
              <w:snapToGrid w:val="0"/>
              <w:jc w:val="center"/>
              <w:rPr>
                <w:rFonts w:ascii="黑体" w:hAnsi="黑体" w:eastAsia="黑体" w:cstheme="minorBidi"/>
                <w:szCs w:val="21"/>
              </w:rPr>
            </w:pPr>
            <w:r>
              <w:rPr>
                <w:rFonts w:hint="eastAsia" w:ascii="黑体" w:hAnsi="黑体" w:eastAsia="黑体" w:cstheme="minorBidi"/>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927" w:type="dxa"/>
            <w:gridSpan w:val="5"/>
            <w:shd w:val="clear" w:color="auto" w:fill="auto"/>
            <w:vAlign w:val="center"/>
          </w:tcPr>
          <w:p>
            <w:pPr>
              <w:adjustRightInd w:val="0"/>
              <w:snapToGrid w:val="0"/>
              <w:jc w:val="center"/>
              <w:rPr>
                <w:rFonts w:ascii="黑体" w:hAnsi="黑体" w:eastAsia="黑体" w:cstheme="minorBidi"/>
                <w:szCs w:val="21"/>
              </w:rPr>
            </w:pPr>
            <w:r>
              <w:rPr>
                <w:rFonts w:hint="eastAsia" w:ascii="黑体" w:hAnsi="黑体" w:eastAsia="黑体" w:cstheme="minorBidi"/>
                <w:szCs w:val="21"/>
              </w:rPr>
              <w:t>总计</w:t>
            </w:r>
          </w:p>
        </w:tc>
        <w:tc>
          <w:tcPr>
            <w:tcW w:w="732" w:type="dxa"/>
            <w:vAlign w:val="center"/>
          </w:tcPr>
          <w:p>
            <w:pPr>
              <w:jc w:val="center"/>
              <w:rPr>
                <w:rFonts w:ascii="黑体" w:hAnsi="黑体" w:eastAsia="黑体" w:cstheme="minorBidi"/>
                <w:szCs w:val="21"/>
              </w:rPr>
            </w:pPr>
            <w:r>
              <w:rPr>
                <w:rFonts w:hint="eastAsia" w:ascii="黑体" w:hAnsi="黑体" w:eastAsia="黑体" w:cstheme="minorBidi"/>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9659" w:type="dxa"/>
            <w:gridSpan w:val="6"/>
            <w:shd w:val="clear" w:color="auto" w:fill="auto"/>
            <w:vAlign w:val="center"/>
          </w:tcPr>
          <w:p>
            <w:pPr>
              <w:adjustRightInd w:val="0"/>
              <w:snapToGrid w:val="0"/>
              <w:spacing w:line="300" w:lineRule="exact"/>
              <w:jc w:val="left"/>
              <w:rPr>
                <w:rFonts w:cs="国标宋体-GB/T 2312" w:asciiTheme="minorEastAsia" w:hAnsiTheme="minorEastAsia" w:eastAsiaTheme="minorEastAsia"/>
                <w:szCs w:val="21"/>
              </w:rPr>
            </w:pPr>
            <w:r>
              <w:rPr>
                <w:rFonts w:hint="eastAsia" w:cs="国标宋体-GB/T 2312" w:asciiTheme="minorEastAsia" w:hAnsiTheme="minorEastAsia" w:eastAsiaTheme="minorEastAsia"/>
                <w:szCs w:val="21"/>
              </w:rPr>
              <w:t>备注：1</w:t>
            </w:r>
            <w:r>
              <w:rPr>
                <w:rFonts w:cs="国标宋体-GB/T 2312" w:asciiTheme="minorEastAsia" w:hAnsiTheme="minorEastAsia" w:eastAsiaTheme="minorEastAsia"/>
                <w:szCs w:val="21"/>
              </w:rPr>
              <w:t>.</w:t>
            </w:r>
            <w:r>
              <w:rPr>
                <w:rFonts w:hint="eastAsia" w:cs="国标宋体-GB/T 2312" w:asciiTheme="minorEastAsia" w:hAnsiTheme="minorEastAsia" w:eastAsiaTheme="minorEastAsia"/>
                <w:szCs w:val="21"/>
              </w:rPr>
              <w:t>国（境）外学历毕业生，按照所列相近专业报名。在报名时填写所学专业名称，备注主要课程、研究方向和学习内容等情况。</w:t>
            </w:r>
          </w:p>
          <w:p>
            <w:pPr>
              <w:widowControl/>
              <w:adjustRightInd w:val="0"/>
              <w:snapToGrid w:val="0"/>
              <w:spacing w:line="300" w:lineRule="exact"/>
              <w:ind w:firstLine="420" w:firstLineChars="200"/>
              <w:jc w:val="left"/>
              <w:rPr>
                <w:rFonts w:cs="国标宋体-GB/T 2312" w:asciiTheme="minorEastAsia" w:hAnsiTheme="minorEastAsia" w:eastAsiaTheme="minorEastAsia"/>
                <w:szCs w:val="21"/>
              </w:rPr>
            </w:pPr>
            <w:r>
              <w:rPr>
                <w:rFonts w:hint="eastAsia" w:cs="国标宋体-GB/T 2312" w:asciiTheme="minorEastAsia" w:hAnsiTheme="minorEastAsia" w:eastAsiaTheme="minorEastAsia"/>
                <w:szCs w:val="21"/>
              </w:rPr>
              <w:t>2</w:t>
            </w:r>
            <w:r>
              <w:rPr>
                <w:rFonts w:cs="国标宋体-GB/T 2312" w:asciiTheme="minorEastAsia" w:hAnsiTheme="minorEastAsia" w:eastAsiaTheme="minorEastAsia"/>
                <w:szCs w:val="21"/>
              </w:rPr>
              <w:t>.</w:t>
            </w:r>
            <w:r>
              <w:rPr>
                <w:rFonts w:hint="eastAsia" w:cs="国标宋体-GB/T 2312" w:asciiTheme="minorEastAsia" w:hAnsiTheme="minorEastAsia" w:eastAsiaTheme="minorEastAsia"/>
                <w:szCs w:val="21"/>
              </w:rPr>
              <w:t>各岗位类别招聘人员统一安排生产车间工作，根据企业人员需求情况，按程序进行选拔。</w:t>
            </w:r>
          </w:p>
          <w:p>
            <w:pPr>
              <w:widowControl/>
              <w:adjustRightInd w:val="0"/>
              <w:snapToGrid w:val="0"/>
              <w:spacing w:line="300" w:lineRule="exact"/>
              <w:ind w:firstLine="420" w:firstLineChars="200"/>
              <w:jc w:val="left"/>
              <w:rPr>
                <w:rFonts w:cs="国标宋体-GB/T 2312" w:asciiTheme="minorEastAsia" w:hAnsiTheme="minorEastAsia" w:eastAsiaTheme="minorEastAsia"/>
                <w:szCs w:val="21"/>
              </w:rPr>
            </w:pPr>
            <w:r>
              <w:rPr>
                <w:rFonts w:hint="eastAsia" w:cs="国标宋体-GB/T 2312" w:asciiTheme="minorEastAsia" w:hAnsiTheme="minorEastAsia" w:eastAsiaTheme="minorEastAsia"/>
                <w:szCs w:val="21"/>
              </w:rPr>
              <w:t>3</w:t>
            </w:r>
            <w:r>
              <w:rPr>
                <w:rFonts w:cs="国标宋体-GB/T 2312" w:asciiTheme="minorEastAsia" w:hAnsiTheme="minorEastAsia" w:eastAsiaTheme="minorEastAsia"/>
                <w:szCs w:val="21"/>
              </w:rPr>
              <w:t>.</w:t>
            </w:r>
            <w:r>
              <w:rPr>
                <w:rFonts w:hint="eastAsia" w:cs="国标宋体-GB/T 2312" w:asciiTheme="minorEastAsia" w:hAnsiTheme="minorEastAsia" w:eastAsiaTheme="minorEastAsia"/>
                <w:szCs w:val="21"/>
              </w:rPr>
              <w:t>营销业务类招聘人员在省外从事营销业务类岗位的时间一般不应少于8年。</w:t>
            </w:r>
          </w:p>
          <w:p>
            <w:pPr>
              <w:widowControl/>
              <w:adjustRightInd w:val="0"/>
              <w:snapToGrid w:val="0"/>
              <w:spacing w:line="300" w:lineRule="exact"/>
              <w:ind w:firstLine="420" w:firstLineChars="200"/>
              <w:jc w:val="left"/>
              <w:rPr>
                <w:rFonts w:asciiTheme="minorEastAsia" w:hAnsiTheme="minorEastAsia" w:eastAsiaTheme="minorEastAsia" w:cstheme="minorBidi"/>
                <w:szCs w:val="21"/>
              </w:rPr>
            </w:pPr>
            <w:r>
              <w:rPr>
                <w:rFonts w:hint="eastAsia" w:cs="国标宋体-GB/T 2312" w:asciiTheme="minorEastAsia" w:hAnsiTheme="minorEastAsia" w:eastAsiaTheme="minorEastAsia"/>
                <w:szCs w:val="21"/>
              </w:rPr>
              <w:t>4</w:t>
            </w:r>
            <w:r>
              <w:rPr>
                <w:rFonts w:cs="国标宋体-GB/T 2312" w:asciiTheme="minorEastAsia" w:hAnsiTheme="minorEastAsia" w:eastAsiaTheme="minorEastAsia"/>
                <w:szCs w:val="21"/>
              </w:rPr>
              <w:t>.</w:t>
            </w:r>
            <w:r>
              <w:rPr>
                <w:rFonts w:hint="eastAsia" w:cs="国标宋体-GB/T 2312" w:asciiTheme="minorEastAsia" w:hAnsiTheme="minorEastAsia" w:eastAsiaTheme="minorEastAsia"/>
                <w:szCs w:val="21"/>
              </w:rPr>
              <w:t>其中专业方向中有“将军集团”“颐中集团”字样的，在各招聘卷烟厂实习一年后，调入该集团工作，并安排集团所属企业锻炼一年。</w:t>
            </w:r>
          </w:p>
        </w:tc>
      </w:tr>
      <w:bookmarkEnd w:id="0"/>
    </w:tbl>
    <w:p>
      <w:pPr>
        <w:tabs>
          <w:tab w:val="left" w:pos="2250"/>
        </w:tabs>
        <w:rPr>
          <w:rFonts w:ascii="黑体" w:hAnsi="黑体" w:eastAsia="黑体"/>
          <w:sz w:val="28"/>
          <w:szCs w:val="28"/>
        </w:rPr>
      </w:pPr>
    </w:p>
    <w:sectPr>
      <w:footerReference r:id="rId6" w:type="first"/>
      <w:headerReference r:id="rId3" w:type="default"/>
      <w:footerReference r:id="rId4" w:type="default"/>
      <w:footerReference r:id="rId5" w:type="even"/>
      <w:pgSz w:w="11906" w:h="16838"/>
      <w:pgMar w:top="1985" w:right="1474" w:bottom="1985" w:left="158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2" w:usb3="00000000" w:csb0="00040001" w:csb1="00000000"/>
  </w:font>
  <w:font w:name="国标宋体-GB/T 2312">
    <w:altName w:val="Microsoft YaHei UI"/>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079" w:wrap="around" w:vAnchor="text" w:hAnchor="margin" w:xAlign="outside" w:y="7"/>
      <w:ind w:firstLine="140" w:firstLineChars="50"/>
      <w:rPr>
        <w:rStyle w:val="10"/>
        <w:sz w:val="28"/>
        <w:szCs w:val="28"/>
      </w:rPr>
    </w:pP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- 5 -</w:t>
    </w:r>
    <w:r>
      <w:rPr>
        <w:rStyle w:val="10"/>
        <w:sz w:val="28"/>
        <w:szCs w:val="28"/>
      </w:rPr>
      <w:fldChar w:fldCharType="end"/>
    </w:r>
    <w:r>
      <w:rPr>
        <w:rStyle w:val="10"/>
        <w:rFonts w:hint="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8"/>
        <w:szCs w:val="28"/>
      </w:rPr>
    </w:pP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- 6 -</w:t>
    </w:r>
    <w:r>
      <w:rPr>
        <w:rStyle w:val="10"/>
        <w:sz w:val="28"/>
        <w:szCs w:val="2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w:t>
    </w:r>
    <w:r>
      <w:t xml:space="preserve"> 1 -</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FA"/>
    <w:rsid w:val="000044FC"/>
    <w:rsid w:val="00012647"/>
    <w:rsid w:val="00013FC5"/>
    <w:rsid w:val="00016956"/>
    <w:rsid w:val="0002216D"/>
    <w:rsid w:val="00030AAE"/>
    <w:rsid w:val="000372F5"/>
    <w:rsid w:val="0004451B"/>
    <w:rsid w:val="00046319"/>
    <w:rsid w:val="0005005B"/>
    <w:rsid w:val="000545CC"/>
    <w:rsid w:val="00055BC7"/>
    <w:rsid w:val="000635CF"/>
    <w:rsid w:val="0006480A"/>
    <w:rsid w:val="000657FE"/>
    <w:rsid w:val="0007646D"/>
    <w:rsid w:val="00077922"/>
    <w:rsid w:val="0008534A"/>
    <w:rsid w:val="0009447B"/>
    <w:rsid w:val="000954D9"/>
    <w:rsid w:val="00095B0A"/>
    <w:rsid w:val="00095BE2"/>
    <w:rsid w:val="00097A83"/>
    <w:rsid w:val="000A31C6"/>
    <w:rsid w:val="000A36D8"/>
    <w:rsid w:val="000A48A5"/>
    <w:rsid w:val="000B5EEE"/>
    <w:rsid w:val="000B656B"/>
    <w:rsid w:val="000C3E66"/>
    <w:rsid w:val="000C4DC1"/>
    <w:rsid w:val="000C52D2"/>
    <w:rsid w:val="000C5EE1"/>
    <w:rsid w:val="000C69FF"/>
    <w:rsid w:val="000D48FE"/>
    <w:rsid w:val="000D52E2"/>
    <w:rsid w:val="000D7148"/>
    <w:rsid w:val="000E21E2"/>
    <w:rsid w:val="000E2BA2"/>
    <w:rsid w:val="000E475A"/>
    <w:rsid w:val="000E7A24"/>
    <w:rsid w:val="000F2726"/>
    <w:rsid w:val="000F56CD"/>
    <w:rsid w:val="000F67BE"/>
    <w:rsid w:val="000F7773"/>
    <w:rsid w:val="000F77FE"/>
    <w:rsid w:val="00100BAE"/>
    <w:rsid w:val="00113FCC"/>
    <w:rsid w:val="00116745"/>
    <w:rsid w:val="00125CB9"/>
    <w:rsid w:val="001309EE"/>
    <w:rsid w:val="001311DA"/>
    <w:rsid w:val="00136332"/>
    <w:rsid w:val="00137102"/>
    <w:rsid w:val="00137DB2"/>
    <w:rsid w:val="001434BF"/>
    <w:rsid w:val="00146C54"/>
    <w:rsid w:val="001500E2"/>
    <w:rsid w:val="001506AE"/>
    <w:rsid w:val="00153BEB"/>
    <w:rsid w:val="001547FF"/>
    <w:rsid w:val="00155C33"/>
    <w:rsid w:val="001676B2"/>
    <w:rsid w:val="00167A9B"/>
    <w:rsid w:val="001770C6"/>
    <w:rsid w:val="00182364"/>
    <w:rsid w:val="001833FD"/>
    <w:rsid w:val="00190226"/>
    <w:rsid w:val="001903F9"/>
    <w:rsid w:val="00191519"/>
    <w:rsid w:val="00193D87"/>
    <w:rsid w:val="001A66EB"/>
    <w:rsid w:val="001B08F3"/>
    <w:rsid w:val="001B1182"/>
    <w:rsid w:val="001B16E4"/>
    <w:rsid w:val="001B3FAB"/>
    <w:rsid w:val="001B42E8"/>
    <w:rsid w:val="001B4FAA"/>
    <w:rsid w:val="001B53A2"/>
    <w:rsid w:val="001C2927"/>
    <w:rsid w:val="001C2AEF"/>
    <w:rsid w:val="001C3789"/>
    <w:rsid w:val="001C7340"/>
    <w:rsid w:val="001D06F0"/>
    <w:rsid w:val="001D1750"/>
    <w:rsid w:val="001D436C"/>
    <w:rsid w:val="001D6BBE"/>
    <w:rsid w:val="001E33E9"/>
    <w:rsid w:val="001F0F83"/>
    <w:rsid w:val="001F393E"/>
    <w:rsid w:val="001F4AF4"/>
    <w:rsid w:val="002003FA"/>
    <w:rsid w:val="002005F0"/>
    <w:rsid w:val="00200F33"/>
    <w:rsid w:val="00206A85"/>
    <w:rsid w:val="002113C5"/>
    <w:rsid w:val="0021548A"/>
    <w:rsid w:val="0022084C"/>
    <w:rsid w:val="00221DEA"/>
    <w:rsid w:val="002263C8"/>
    <w:rsid w:val="0023687E"/>
    <w:rsid w:val="00241108"/>
    <w:rsid w:val="00241A38"/>
    <w:rsid w:val="00242D5E"/>
    <w:rsid w:val="00244C09"/>
    <w:rsid w:val="002450CA"/>
    <w:rsid w:val="00247B42"/>
    <w:rsid w:val="002501DB"/>
    <w:rsid w:val="00252E86"/>
    <w:rsid w:val="0025361D"/>
    <w:rsid w:val="00254BF8"/>
    <w:rsid w:val="00255002"/>
    <w:rsid w:val="002553CF"/>
    <w:rsid w:val="00255530"/>
    <w:rsid w:val="0025753E"/>
    <w:rsid w:val="0026493F"/>
    <w:rsid w:val="00267456"/>
    <w:rsid w:val="00271996"/>
    <w:rsid w:val="00274CC7"/>
    <w:rsid w:val="0027527D"/>
    <w:rsid w:val="002846D1"/>
    <w:rsid w:val="00286643"/>
    <w:rsid w:val="00286F4D"/>
    <w:rsid w:val="002911AE"/>
    <w:rsid w:val="00291F2E"/>
    <w:rsid w:val="002A3B25"/>
    <w:rsid w:val="002A7FED"/>
    <w:rsid w:val="002D237F"/>
    <w:rsid w:val="002D27AE"/>
    <w:rsid w:val="002D287F"/>
    <w:rsid w:val="002D4924"/>
    <w:rsid w:val="002D5AFC"/>
    <w:rsid w:val="002D630E"/>
    <w:rsid w:val="002E1F62"/>
    <w:rsid w:val="002E2972"/>
    <w:rsid w:val="002F2186"/>
    <w:rsid w:val="002F53DE"/>
    <w:rsid w:val="002F6E94"/>
    <w:rsid w:val="002F7443"/>
    <w:rsid w:val="00303C83"/>
    <w:rsid w:val="0030465D"/>
    <w:rsid w:val="00306484"/>
    <w:rsid w:val="00310476"/>
    <w:rsid w:val="00315E90"/>
    <w:rsid w:val="00321B07"/>
    <w:rsid w:val="00326A7C"/>
    <w:rsid w:val="00334477"/>
    <w:rsid w:val="00347552"/>
    <w:rsid w:val="0035178E"/>
    <w:rsid w:val="003526DC"/>
    <w:rsid w:val="00357FD9"/>
    <w:rsid w:val="003610BE"/>
    <w:rsid w:val="0036365C"/>
    <w:rsid w:val="003705EC"/>
    <w:rsid w:val="00373DD1"/>
    <w:rsid w:val="0037648C"/>
    <w:rsid w:val="00376E99"/>
    <w:rsid w:val="0038214F"/>
    <w:rsid w:val="00383900"/>
    <w:rsid w:val="00386E2B"/>
    <w:rsid w:val="003937EF"/>
    <w:rsid w:val="003943FD"/>
    <w:rsid w:val="003946F5"/>
    <w:rsid w:val="003A3421"/>
    <w:rsid w:val="003A5765"/>
    <w:rsid w:val="003A60BC"/>
    <w:rsid w:val="003A64BF"/>
    <w:rsid w:val="003A7D7C"/>
    <w:rsid w:val="003B2188"/>
    <w:rsid w:val="003B5BA1"/>
    <w:rsid w:val="003C6596"/>
    <w:rsid w:val="003D0596"/>
    <w:rsid w:val="003D5CE7"/>
    <w:rsid w:val="003D62DE"/>
    <w:rsid w:val="003D7758"/>
    <w:rsid w:val="003E34C3"/>
    <w:rsid w:val="003E6C82"/>
    <w:rsid w:val="003F1460"/>
    <w:rsid w:val="003F4A2E"/>
    <w:rsid w:val="00412632"/>
    <w:rsid w:val="00416BF6"/>
    <w:rsid w:val="00422B25"/>
    <w:rsid w:val="00424DDB"/>
    <w:rsid w:val="0042697C"/>
    <w:rsid w:val="00431F35"/>
    <w:rsid w:val="00434A87"/>
    <w:rsid w:val="00440559"/>
    <w:rsid w:val="004416F1"/>
    <w:rsid w:val="00451EC6"/>
    <w:rsid w:val="00452614"/>
    <w:rsid w:val="00455F7C"/>
    <w:rsid w:val="00463414"/>
    <w:rsid w:val="00470298"/>
    <w:rsid w:val="00473A18"/>
    <w:rsid w:val="004757E4"/>
    <w:rsid w:val="00480114"/>
    <w:rsid w:val="0048409D"/>
    <w:rsid w:val="00487C61"/>
    <w:rsid w:val="004909F6"/>
    <w:rsid w:val="00491ED0"/>
    <w:rsid w:val="00493220"/>
    <w:rsid w:val="00496A8A"/>
    <w:rsid w:val="00497355"/>
    <w:rsid w:val="004973A4"/>
    <w:rsid w:val="004A534B"/>
    <w:rsid w:val="004A5C98"/>
    <w:rsid w:val="004B139A"/>
    <w:rsid w:val="004B35A6"/>
    <w:rsid w:val="004B6597"/>
    <w:rsid w:val="004B7758"/>
    <w:rsid w:val="004C15BA"/>
    <w:rsid w:val="004D750A"/>
    <w:rsid w:val="004D7E0C"/>
    <w:rsid w:val="004E0031"/>
    <w:rsid w:val="004E1A3B"/>
    <w:rsid w:val="004E3F16"/>
    <w:rsid w:val="004E5C1A"/>
    <w:rsid w:val="004E6B08"/>
    <w:rsid w:val="004E7823"/>
    <w:rsid w:val="004F1A52"/>
    <w:rsid w:val="004F4796"/>
    <w:rsid w:val="004F6E11"/>
    <w:rsid w:val="00502366"/>
    <w:rsid w:val="00505373"/>
    <w:rsid w:val="005073C9"/>
    <w:rsid w:val="00514E29"/>
    <w:rsid w:val="00515E29"/>
    <w:rsid w:val="005222D6"/>
    <w:rsid w:val="00526268"/>
    <w:rsid w:val="00533549"/>
    <w:rsid w:val="005337F3"/>
    <w:rsid w:val="00535B6E"/>
    <w:rsid w:val="00536D54"/>
    <w:rsid w:val="00542E7A"/>
    <w:rsid w:val="00545586"/>
    <w:rsid w:val="005516A2"/>
    <w:rsid w:val="00552BAC"/>
    <w:rsid w:val="0055453D"/>
    <w:rsid w:val="005551D4"/>
    <w:rsid w:val="00560715"/>
    <w:rsid w:val="0056255F"/>
    <w:rsid w:val="00564A74"/>
    <w:rsid w:val="005661E5"/>
    <w:rsid w:val="00570773"/>
    <w:rsid w:val="0057166E"/>
    <w:rsid w:val="00574808"/>
    <w:rsid w:val="00583FF8"/>
    <w:rsid w:val="005853F2"/>
    <w:rsid w:val="0058648D"/>
    <w:rsid w:val="005867DE"/>
    <w:rsid w:val="0058696C"/>
    <w:rsid w:val="0059436F"/>
    <w:rsid w:val="005948B7"/>
    <w:rsid w:val="00595510"/>
    <w:rsid w:val="00595E2D"/>
    <w:rsid w:val="0059655C"/>
    <w:rsid w:val="0059784D"/>
    <w:rsid w:val="005A444E"/>
    <w:rsid w:val="005A59EF"/>
    <w:rsid w:val="005B4B58"/>
    <w:rsid w:val="005B76CB"/>
    <w:rsid w:val="005C034D"/>
    <w:rsid w:val="005C756A"/>
    <w:rsid w:val="005D34FA"/>
    <w:rsid w:val="005D4430"/>
    <w:rsid w:val="005D5DAD"/>
    <w:rsid w:val="005D619E"/>
    <w:rsid w:val="005E4889"/>
    <w:rsid w:val="005F0D28"/>
    <w:rsid w:val="005F11EA"/>
    <w:rsid w:val="005F1B4F"/>
    <w:rsid w:val="005F2707"/>
    <w:rsid w:val="005F3103"/>
    <w:rsid w:val="005F3EEA"/>
    <w:rsid w:val="005F4F01"/>
    <w:rsid w:val="00607705"/>
    <w:rsid w:val="00610847"/>
    <w:rsid w:val="00614482"/>
    <w:rsid w:val="00620CE5"/>
    <w:rsid w:val="006222C7"/>
    <w:rsid w:val="00623ABA"/>
    <w:rsid w:val="00635497"/>
    <w:rsid w:val="00644D7B"/>
    <w:rsid w:val="00646164"/>
    <w:rsid w:val="0065023A"/>
    <w:rsid w:val="00650FA3"/>
    <w:rsid w:val="00655A8D"/>
    <w:rsid w:val="006571D2"/>
    <w:rsid w:val="00660AB4"/>
    <w:rsid w:val="00663B21"/>
    <w:rsid w:val="00667B20"/>
    <w:rsid w:val="006719ED"/>
    <w:rsid w:val="00673476"/>
    <w:rsid w:val="0067662D"/>
    <w:rsid w:val="006777DF"/>
    <w:rsid w:val="006814E0"/>
    <w:rsid w:val="006815BA"/>
    <w:rsid w:val="00685671"/>
    <w:rsid w:val="00696C56"/>
    <w:rsid w:val="006A388A"/>
    <w:rsid w:val="006B3F11"/>
    <w:rsid w:val="006C5899"/>
    <w:rsid w:val="006E1962"/>
    <w:rsid w:val="006E42BF"/>
    <w:rsid w:val="006F0973"/>
    <w:rsid w:val="006F3CFC"/>
    <w:rsid w:val="006F6218"/>
    <w:rsid w:val="007007A4"/>
    <w:rsid w:val="007045DA"/>
    <w:rsid w:val="00705C17"/>
    <w:rsid w:val="0070627E"/>
    <w:rsid w:val="007075CF"/>
    <w:rsid w:val="00711AC8"/>
    <w:rsid w:val="00715282"/>
    <w:rsid w:val="00715C6C"/>
    <w:rsid w:val="007203A1"/>
    <w:rsid w:val="00721BF8"/>
    <w:rsid w:val="007220DF"/>
    <w:rsid w:val="007238EF"/>
    <w:rsid w:val="00724419"/>
    <w:rsid w:val="0073103C"/>
    <w:rsid w:val="00744A45"/>
    <w:rsid w:val="0074682C"/>
    <w:rsid w:val="00751400"/>
    <w:rsid w:val="0075457C"/>
    <w:rsid w:val="00762497"/>
    <w:rsid w:val="007670F4"/>
    <w:rsid w:val="00773C31"/>
    <w:rsid w:val="0077442B"/>
    <w:rsid w:val="00774E12"/>
    <w:rsid w:val="00775F2C"/>
    <w:rsid w:val="00780D64"/>
    <w:rsid w:val="0078150C"/>
    <w:rsid w:val="00783DED"/>
    <w:rsid w:val="00785370"/>
    <w:rsid w:val="00787DF6"/>
    <w:rsid w:val="007906E3"/>
    <w:rsid w:val="00794A91"/>
    <w:rsid w:val="0079700E"/>
    <w:rsid w:val="00797508"/>
    <w:rsid w:val="007A1E3B"/>
    <w:rsid w:val="007A34BE"/>
    <w:rsid w:val="007A49FE"/>
    <w:rsid w:val="007A7650"/>
    <w:rsid w:val="007C27FF"/>
    <w:rsid w:val="007C5075"/>
    <w:rsid w:val="007C689E"/>
    <w:rsid w:val="007C7DBF"/>
    <w:rsid w:val="007D25C6"/>
    <w:rsid w:val="007D3751"/>
    <w:rsid w:val="007D4704"/>
    <w:rsid w:val="007E11B8"/>
    <w:rsid w:val="007E237F"/>
    <w:rsid w:val="007E3292"/>
    <w:rsid w:val="00801C4E"/>
    <w:rsid w:val="0080216E"/>
    <w:rsid w:val="008129EA"/>
    <w:rsid w:val="00813EC0"/>
    <w:rsid w:val="00815D28"/>
    <w:rsid w:val="00816BD5"/>
    <w:rsid w:val="00820215"/>
    <w:rsid w:val="0082187C"/>
    <w:rsid w:val="008266D8"/>
    <w:rsid w:val="00826840"/>
    <w:rsid w:val="00826900"/>
    <w:rsid w:val="0082751F"/>
    <w:rsid w:val="008355F2"/>
    <w:rsid w:val="00840554"/>
    <w:rsid w:val="008439A6"/>
    <w:rsid w:val="00844EAE"/>
    <w:rsid w:val="0085369F"/>
    <w:rsid w:val="00854061"/>
    <w:rsid w:val="0085430D"/>
    <w:rsid w:val="00860CE4"/>
    <w:rsid w:val="00871BB4"/>
    <w:rsid w:val="00872822"/>
    <w:rsid w:val="00872ED9"/>
    <w:rsid w:val="0087446A"/>
    <w:rsid w:val="0087586D"/>
    <w:rsid w:val="00876C3D"/>
    <w:rsid w:val="00877B8A"/>
    <w:rsid w:val="008820D9"/>
    <w:rsid w:val="00882733"/>
    <w:rsid w:val="0089171F"/>
    <w:rsid w:val="00892163"/>
    <w:rsid w:val="00894330"/>
    <w:rsid w:val="00897C84"/>
    <w:rsid w:val="008A139F"/>
    <w:rsid w:val="008A36FE"/>
    <w:rsid w:val="008A4D44"/>
    <w:rsid w:val="008A52A2"/>
    <w:rsid w:val="008A63BD"/>
    <w:rsid w:val="008B3333"/>
    <w:rsid w:val="008B4B92"/>
    <w:rsid w:val="008B583E"/>
    <w:rsid w:val="008B6C16"/>
    <w:rsid w:val="008C0778"/>
    <w:rsid w:val="008C7942"/>
    <w:rsid w:val="008D1FEB"/>
    <w:rsid w:val="008D2B38"/>
    <w:rsid w:val="008D4CD4"/>
    <w:rsid w:val="008D5189"/>
    <w:rsid w:val="008E43D5"/>
    <w:rsid w:val="008F1915"/>
    <w:rsid w:val="008F44D6"/>
    <w:rsid w:val="008F53C4"/>
    <w:rsid w:val="008F65B1"/>
    <w:rsid w:val="0090250D"/>
    <w:rsid w:val="009041D2"/>
    <w:rsid w:val="00905401"/>
    <w:rsid w:val="00907C0C"/>
    <w:rsid w:val="00911BC0"/>
    <w:rsid w:val="00911D2D"/>
    <w:rsid w:val="009136DE"/>
    <w:rsid w:val="00915781"/>
    <w:rsid w:val="00917015"/>
    <w:rsid w:val="00917604"/>
    <w:rsid w:val="00922EB6"/>
    <w:rsid w:val="00924516"/>
    <w:rsid w:val="009279ED"/>
    <w:rsid w:val="00940A3F"/>
    <w:rsid w:val="009410BE"/>
    <w:rsid w:val="0095536B"/>
    <w:rsid w:val="00961C8D"/>
    <w:rsid w:val="0097361F"/>
    <w:rsid w:val="00973C9A"/>
    <w:rsid w:val="00975204"/>
    <w:rsid w:val="009831AD"/>
    <w:rsid w:val="009A3405"/>
    <w:rsid w:val="009A4A73"/>
    <w:rsid w:val="009A4F76"/>
    <w:rsid w:val="009A5D60"/>
    <w:rsid w:val="009B13A1"/>
    <w:rsid w:val="009B6753"/>
    <w:rsid w:val="009C0600"/>
    <w:rsid w:val="009C10D2"/>
    <w:rsid w:val="009C1B6F"/>
    <w:rsid w:val="009C494B"/>
    <w:rsid w:val="009C5E7D"/>
    <w:rsid w:val="009C65C8"/>
    <w:rsid w:val="009C7775"/>
    <w:rsid w:val="009D23FA"/>
    <w:rsid w:val="009D32BF"/>
    <w:rsid w:val="009D644A"/>
    <w:rsid w:val="009D69F8"/>
    <w:rsid w:val="009E3483"/>
    <w:rsid w:val="009E411C"/>
    <w:rsid w:val="009E6323"/>
    <w:rsid w:val="009F49A6"/>
    <w:rsid w:val="009F7FE1"/>
    <w:rsid w:val="00A01307"/>
    <w:rsid w:val="00A0393D"/>
    <w:rsid w:val="00A10409"/>
    <w:rsid w:val="00A10FB5"/>
    <w:rsid w:val="00A13A84"/>
    <w:rsid w:val="00A1441C"/>
    <w:rsid w:val="00A17EAF"/>
    <w:rsid w:val="00A2339B"/>
    <w:rsid w:val="00A343B1"/>
    <w:rsid w:val="00A34FB1"/>
    <w:rsid w:val="00A3648A"/>
    <w:rsid w:val="00A43AE8"/>
    <w:rsid w:val="00A4443F"/>
    <w:rsid w:val="00A561D8"/>
    <w:rsid w:val="00A56C5D"/>
    <w:rsid w:val="00A626E4"/>
    <w:rsid w:val="00A67621"/>
    <w:rsid w:val="00A70597"/>
    <w:rsid w:val="00A711EA"/>
    <w:rsid w:val="00A75B81"/>
    <w:rsid w:val="00A82F28"/>
    <w:rsid w:val="00A847AA"/>
    <w:rsid w:val="00A851B6"/>
    <w:rsid w:val="00A86142"/>
    <w:rsid w:val="00AA097C"/>
    <w:rsid w:val="00AA313E"/>
    <w:rsid w:val="00AA3E09"/>
    <w:rsid w:val="00AA6975"/>
    <w:rsid w:val="00AB61F2"/>
    <w:rsid w:val="00AC3568"/>
    <w:rsid w:val="00AC429C"/>
    <w:rsid w:val="00AC5F82"/>
    <w:rsid w:val="00AD25D5"/>
    <w:rsid w:val="00AD7AE3"/>
    <w:rsid w:val="00AE0551"/>
    <w:rsid w:val="00AF130D"/>
    <w:rsid w:val="00AF246D"/>
    <w:rsid w:val="00AF3199"/>
    <w:rsid w:val="00AF6961"/>
    <w:rsid w:val="00AF7418"/>
    <w:rsid w:val="00AF7D9A"/>
    <w:rsid w:val="00B000E0"/>
    <w:rsid w:val="00B02906"/>
    <w:rsid w:val="00B149F9"/>
    <w:rsid w:val="00B14F3A"/>
    <w:rsid w:val="00B15443"/>
    <w:rsid w:val="00B16932"/>
    <w:rsid w:val="00B243FF"/>
    <w:rsid w:val="00B25B25"/>
    <w:rsid w:val="00B40A75"/>
    <w:rsid w:val="00B42DA2"/>
    <w:rsid w:val="00B51EEA"/>
    <w:rsid w:val="00B52776"/>
    <w:rsid w:val="00B53673"/>
    <w:rsid w:val="00B54379"/>
    <w:rsid w:val="00B571E0"/>
    <w:rsid w:val="00B64158"/>
    <w:rsid w:val="00B776A0"/>
    <w:rsid w:val="00B776E4"/>
    <w:rsid w:val="00B81E2D"/>
    <w:rsid w:val="00B81EC4"/>
    <w:rsid w:val="00B858D5"/>
    <w:rsid w:val="00B9208D"/>
    <w:rsid w:val="00B940CE"/>
    <w:rsid w:val="00B9456E"/>
    <w:rsid w:val="00B94C44"/>
    <w:rsid w:val="00BA0F3C"/>
    <w:rsid w:val="00BA3DD1"/>
    <w:rsid w:val="00BB3364"/>
    <w:rsid w:val="00BC6C5F"/>
    <w:rsid w:val="00BD2865"/>
    <w:rsid w:val="00BE050E"/>
    <w:rsid w:val="00BE369B"/>
    <w:rsid w:val="00BE7D0B"/>
    <w:rsid w:val="00BF1878"/>
    <w:rsid w:val="00C013D7"/>
    <w:rsid w:val="00C20B21"/>
    <w:rsid w:val="00C2404A"/>
    <w:rsid w:val="00C32306"/>
    <w:rsid w:val="00C40D74"/>
    <w:rsid w:val="00C52196"/>
    <w:rsid w:val="00C521F3"/>
    <w:rsid w:val="00C53ADF"/>
    <w:rsid w:val="00C53B7D"/>
    <w:rsid w:val="00C6603E"/>
    <w:rsid w:val="00C67423"/>
    <w:rsid w:val="00C717B5"/>
    <w:rsid w:val="00C7391D"/>
    <w:rsid w:val="00C75BC8"/>
    <w:rsid w:val="00C77801"/>
    <w:rsid w:val="00C812F9"/>
    <w:rsid w:val="00C8265D"/>
    <w:rsid w:val="00C839C8"/>
    <w:rsid w:val="00C84561"/>
    <w:rsid w:val="00C9265E"/>
    <w:rsid w:val="00C94B0F"/>
    <w:rsid w:val="00C96B46"/>
    <w:rsid w:val="00CA0FE7"/>
    <w:rsid w:val="00CA3011"/>
    <w:rsid w:val="00CA3D47"/>
    <w:rsid w:val="00CA56EB"/>
    <w:rsid w:val="00CA6903"/>
    <w:rsid w:val="00CA78BC"/>
    <w:rsid w:val="00CB07D2"/>
    <w:rsid w:val="00CC03D5"/>
    <w:rsid w:val="00CC414F"/>
    <w:rsid w:val="00CC616C"/>
    <w:rsid w:val="00CC7824"/>
    <w:rsid w:val="00CD05F3"/>
    <w:rsid w:val="00CD0FF9"/>
    <w:rsid w:val="00CE1EDA"/>
    <w:rsid w:val="00CE6035"/>
    <w:rsid w:val="00CE6DEC"/>
    <w:rsid w:val="00CF4DEE"/>
    <w:rsid w:val="00CF61FE"/>
    <w:rsid w:val="00CF7A37"/>
    <w:rsid w:val="00D01D1D"/>
    <w:rsid w:val="00D0200C"/>
    <w:rsid w:val="00D07107"/>
    <w:rsid w:val="00D10F29"/>
    <w:rsid w:val="00D15027"/>
    <w:rsid w:val="00D16FB7"/>
    <w:rsid w:val="00D2016A"/>
    <w:rsid w:val="00D21C6F"/>
    <w:rsid w:val="00D226F0"/>
    <w:rsid w:val="00D248F7"/>
    <w:rsid w:val="00D25834"/>
    <w:rsid w:val="00D314D2"/>
    <w:rsid w:val="00D31E2C"/>
    <w:rsid w:val="00D4572E"/>
    <w:rsid w:val="00D4622F"/>
    <w:rsid w:val="00D47923"/>
    <w:rsid w:val="00D5032B"/>
    <w:rsid w:val="00D5334A"/>
    <w:rsid w:val="00D541FD"/>
    <w:rsid w:val="00D62254"/>
    <w:rsid w:val="00D80C39"/>
    <w:rsid w:val="00D85B54"/>
    <w:rsid w:val="00D862CB"/>
    <w:rsid w:val="00D87CC3"/>
    <w:rsid w:val="00D92992"/>
    <w:rsid w:val="00D92FB6"/>
    <w:rsid w:val="00D93B5C"/>
    <w:rsid w:val="00DA1D13"/>
    <w:rsid w:val="00DA3610"/>
    <w:rsid w:val="00DA37EF"/>
    <w:rsid w:val="00DA4A79"/>
    <w:rsid w:val="00DA6279"/>
    <w:rsid w:val="00DB0EFC"/>
    <w:rsid w:val="00DB1992"/>
    <w:rsid w:val="00DB2635"/>
    <w:rsid w:val="00DB5759"/>
    <w:rsid w:val="00DB7AE3"/>
    <w:rsid w:val="00DC2667"/>
    <w:rsid w:val="00DD02C4"/>
    <w:rsid w:val="00DD0892"/>
    <w:rsid w:val="00DD6849"/>
    <w:rsid w:val="00DE55FB"/>
    <w:rsid w:val="00DE6696"/>
    <w:rsid w:val="00DE7ED2"/>
    <w:rsid w:val="00DF225D"/>
    <w:rsid w:val="00DF54F4"/>
    <w:rsid w:val="00DF65B9"/>
    <w:rsid w:val="00DF6C6B"/>
    <w:rsid w:val="00E05F8E"/>
    <w:rsid w:val="00E100F6"/>
    <w:rsid w:val="00E23764"/>
    <w:rsid w:val="00E261C9"/>
    <w:rsid w:val="00E27588"/>
    <w:rsid w:val="00E275CE"/>
    <w:rsid w:val="00E304C6"/>
    <w:rsid w:val="00E31A90"/>
    <w:rsid w:val="00E324F1"/>
    <w:rsid w:val="00E3500F"/>
    <w:rsid w:val="00E41099"/>
    <w:rsid w:val="00E4426B"/>
    <w:rsid w:val="00E557A8"/>
    <w:rsid w:val="00E57CCE"/>
    <w:rsid w:val="00E6000D"/>
    <w:rsid w:val="00E61C64"/>
    <w:rsid w:val="00E63A6E"/>
    <w:rsid w:val="00E65D74"/>
    <w:rsid w:val="00E660EB"/>
    <w:rsid w:val="00E66F8A"/>
    <w:rsid w:val="00E716C6"/>
    <w:rsid w:val="00E7192F"/>
    <w:rsid w:val="00E7249C"/>
    <w:rsid w:val="00E8308C"/>
    <w:rsid w:val="00E84423"/>
    <w:rsid w:val="00E921E6"/>
    <w:rsid w:val="00E933E0"/>
    <w:rsid w:val="00E93DAB"/>
    <w:rsid w:val="00E941A0"/>
    <w:rsid w:val="00E969E7"/>
    <w:rsid w:val="00EA002C"/>
    <w:rsid w:val="00EA0EB8"/>
    <w:rsid w:val="00EB20F9"/>
    <w:rsid w:val="00EB5575"/>
    <w:rsid w:val="00EC36D6"/>
    <w:rsid w:val="00EC58F2"/>
    <w:rsid w:val="00ED2C15"/>
    <w:rsid w:val="00ED3057"/>
    <w:rsid w:val="00ED3A26"/>
    <w:rsid w:val="00ED45FF"/>
    <w:rsid w:val="00ED4DE1"/>
    <w:rsid w:val="00ED77E6"/>
    <w:rsid w:val="00EE3417"/>
    <w:rsid w:val="00EE555A"/>
    <w:rsid w:val="00EF4FFD"/>
    <w:rsid w:val="00EF6AB4"/>
    <w:rsid w:val="00F011E1"/>
    <w:rsid w:val="00F02EEE"/>
    <w:rsid w:val="00F03222"/>
    <w:rsid w:val="00F0600C"/>
    <w:rsid w:val="00F07976"/>
    <w:rsid w:val="00F11F53"/>
    <w:rsid w:val="00F16C6F"/>
    <w:rsid w:val="00F1793F"/>
    <w:rsid w:val="00F22F09"/>
    <w:rsid w:val="00F279FF"/>
    <w:rsid w:val="00F3518B"/>
    <w:rsid w:val="00F40368"/>
    <w:rsid w:val="00F41C6B"/>
    <w:rsid w:val="00F47000"/>
    <w:rsid w:val="00F479A7"/>
    <w:rsid w:val="00F5174E"/>
    <w:rsid w:val="00F55C01"/>
    <w:rsid w:val="00F571C6"/>
    <w:rsid w:val="00F573C7"/>
    <w:rsid w:val="00F60525"/>
    <w:rsid w:val="00F60DC9"/>
    <w:rsid w:val="00F61466"/>
    <w:rsid w:val="00F64EC4"/>
    <w:rsid w:val="00F711E1"/>
    <w:rsid w:val="00F77FA0"/>
    <w:rsid w:val="00F8625B"/>
    <w:rsid w:val="00F9017A"/>
    <w:rsid w:val="00F9049C"/>
    <w:rsid w:val="00F91F36"/>
    <w:rsid w:val="00F93681"/>
    <w:rsid w:val="00F9393A"/>
    <w:rsid w:val="00F95027"/>
    <w:rsid w:val="00F96DC2"/>
    <w:rsid w:val="00FB0653"/>
    <w:rsid w:val="00FB1F53"/>
    <w:rsid w:val="00FB1FFF"/>
    <w:rsid w:val="00FC102D"/>
    <w:rsid w:val="00FC1CAD"/>
    <w:rsid w:val="00FC2DC0"/>
    <w:rsid w:val="00FC5D32"/>
    <w:rsid w:val="00FC695C"/>
    <w:rsid w:val="00FD2007"/>
    <w:rsid w:val="00FD457D"/>
    <w:rsid w:val="00FD6DB8"/>
    <w:rsid w:val="00FE2ECA"/>
    <w:rsid w:val="00FE4EA8"/>
    <w:rsid w:val="00FE56AC"/>
    <w:rsid w:val="00FF0099"/>
    <w:rsid w:val="00FF0459"/>
    <w:rsid w:val="00FF4C30"/>
    <w:rsid w:val="00FF53FE"/>
    <w:rsid w:val="00FF5471"/>
    <w:rsid w:val="00FF6FBA"/>
    <w:rsid w:val="0777339E"/>
    <w:rsid w:val="10884CDE"/>
    <w:rsid w:val="3DDF924D"/>
    <w:rsid w:val="4996331C"/>
    <w:rsid w:val="55D6B0FE"/>
    <w:rsid w:val="55FFAFD8"/>
    <w:rsid w:val="577D5991"/>
    <w:rsid w:val="5BCC2C75"/>
    <w:rsid w:val="5EDA4E0C"/>
    <w:rsid w:val="60A63319"/>
    <w:rsid w:val="73EFC519"/>
    <w:rsid w:val="7B235400"/>
    <w:rsid w:val="7B7B4E83"/>
    <w:rsid w:val="7DF9A9D8"/>
    <w:rsid w:val="7E79C851"/>
    <w:rsid w:val="7EF7A0CB"/>
    <w:rsid w:val="7F7E6D98"/>
    <w:rsid w:val="7F9D9844"/>
    <w:rsid w:val="7FD72D5D"/>
    <w:rsid w:val="7FE94E41"/>
    <w:rsid w:val="7FFBF8FA"/>
    <w:rsid w:val="9C5D3FCC"/>
    <w:rsid w:val="ADEBA81D"/>
    <w:rsid w:val="B0FF8F70"/>
    <w:rsid w:val="B2FA0752"/>
    <w:rsid w:val="BFF9F975"/>
    <w:rsid w:val="C47F40A4"/>
    <w:rsid w:val="CB3F90F9"/>
    <w:rsid w:val="DFEF82E0"/>
    <w:rsid w:val="DFFF4F2B"/>
    <w:rsid w:val="E1D7DEC1"/>
    <w:rsid w:val="E7FB7F0C"/>
    <w:rsid w:val="EFFF815A"/>
    <w:rsid w:val="F4D9E2D3"/>
    <w:rsid w:val="F8FB9C0F"/>
    <w:rsid w:val="F9F7141D"/>
    <w:rsid w:val="FA709FD4"/>
    <w:rsid w:val="FADF1417"/>
    <w:rsid w:val="FEBB5290"/>
    <w:rsid w:val="FFFF2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8"/>
    <w:unhideWhenUsed/>
    <w:qFormat/>
    <w:uiPriority w:val="0"/>
    <w:pPr>
      <w:ind w:left="100" w:leftChars="2500"/>
    </w:pPr>
  </w:style>
  <w:style w:type="paragraph" w:styleId="3">
    <w:name w:val="Balloon Text"/>
    <w:basedOn w:val="1"/>
    <w:link w:val="16"/>
    <w:semiHidden/>
    <w:unhideWhenUsed/>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qFormat/>
    <w:uiPriority w:val="0"/>
    <w:rPr>
      <w:color w:val="0000FF"/>
      <w:u w:val="single"/>
    </w:rPr>
  </w:style>
  <w:style w:type="character" w:customStyle="1" w:styleId="12">
    <w:name w:val="页脚 Char"/>
    <w:basedOn w:val="9"/>
    <w:link w:val="4"/>
    <w:qFormat/>
    <w:uiPriority w:val="99"/>
    <w:rPr>
      <w:rFonts w:ascii="Calibri" w:hAnsi="Calibri" w:eastAsia="宋体" w:cs="Times New Roman"/>
      <w:sz w:val="18"/>
      <w:szCs w:val="18"/>
    </w:rPr>
  </w:style>
  <w:style w:type="paragraph" w:customStyle="1" w:styleId="13">
    <w:name w:val="公文"/>
    <w:basedOn w:val="1"/>
    <w:link w:val="14"/>
    <w:qFormat/>
    <w:uiPriority w:val="0"/>
    <w:pPr>
      <w:adjustRightInd w:val="0"/>
      <w:snapToGrid w:val="0"/>
      <w:spacing w:line="580" w:lineRule="exact"/>
      <w:ind w:firstLine="640" w:firstLineChars="200"/>
    </w:pPr>
    <w:rPr>
      <w:rFonts w:ascii="仿宋_GB2312" w:hAnsi="黑体" w:eastAsia="仿宋_GB2312" w:cs="宋体"/>
      <w:kern w:val="0"/>
      <w:sz w:val="32"/>
      <w:szCs w:val="32"/>
    </w:rPr>
  </w:style>
  <w:style w:type="character" w:customStyle="1" w:styleId="14">
    <w:name w:val="公文 Char"/>
    <w:link w:val="13"/>
    <w:qFormat/>
    <w:uiPriority w:val="0"/>
    <w:rPr>
      <w:rFonts w:ascii="仿宋_GB2312" w:hAnsi="黑体" w:eastAsia="仿宋_GB2312" w:cs="宋体"/>
      <w:kern w:val="0"/>
      <w:sz w:val="32"/>
      <w:szCs w:val="32"/>
    </w:rPr>
  </w:style>
  <w:style w:type="paragraph" w:styleId="15">
    <w:name w:val="List Paragraph"/>
    <w:basedOn w:val="1"/>
    <w:qFormat/>
    <w:uiPriority w:val="34"/>
    <w:pPr>
      <w:ind w:firstLine="420" w:firstLineChars="200"/>
    </w:pPr>
  </w:style>
  <w:style w:type="character" w:customStyle="1" w:styleId="16">
    <w:name w:val="批注框文本 Char"/>
    <w:basedOn w:val="9"/>
    <w:link w:val="3"/>
    <w:semiHidden/>
    <w:qFormat/>
    <w:uiPriority w:val="99"/>
    <w:rPr>
      <w:rFonts w:ascii="Calibri" w:hAnsi="Calibri" w:eastAsia="宋体" w:cs="Times New Roman"/>
      <w:sz w:val="18"/>
      <w:szCs w:val="18"/>
    </w:rPr>
  </w:style>
  <w:style w:type="character" w:customStyle="1" w:styleId="17">
    <w:name w:val="页眉 Char"/>
    <w:basedOn w:val="9"/>
    <w:link w:val="5"/>
    <w:qFormat/>
    <w:uiPriority w:val="99"/>
    <w:rPr>
      <w:rFonts w:ascii="Calibri" w:hAnsi="Calibri" w:eastAsia="宋体" w:cs="Times New Roman"/>
      <w:sz w:val="18"/>
      <w:szCs w:val="18"/>
    </w:rPr>
  </w:style>
  <w:style w:type="character" w:customStyle="1" w:styleId="18">
    <w:name w:val="日期 Char"/>
    <w:basedOn w:val="9"/>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627</Words>
  <Characters>3574</Characters>
  <Lines>29</Lines>
  <Paragraphs>8</Paragraphs>
  <TotalTime>461</TotalTime>
  <ScaleCrop>false</ScaleCrop>
  <LinksUpToDate>false</LinksUpToDate>
  <CharactersWithSpaces>4193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2024-03-03T03:44:00Z</dcterms:created>
  <dc:creator>刘明哲</dc:creator>
  <cp:lastModifiedBy>丐世英熊</cp:lastModifiedBy>
  <cp:lastPrinted>2026-02-27T09:17:00Z</cp:lastPrinted>
  <dcterms:modified xsi:type="dcterms:W3CDTF">2026-03-05T12:34:00Z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FE9BEF378548417E9B72F30061CF363F</vt:lpwstr>
  </property>
</Properties>
</file>